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90B00" w14:textId="20A1BB5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00104E">
        <w:rPr>
          <w:sz w:val="32"/>
          <w:szCs w:val="32"/>
        </w:rPr>
        <w:t>R2-210</w:t>
      </w:r>
      <w:r w:rsidR="00773A3D">
        <w:rPr>
          <w:sz w:val="32"/>
          <w:szCs w:val="32"/>
        </w:rPr>
        <w:t>0970</w:t>
      </w:r>
    </w:p>
    <w:p w14:paraId="05D7ABE3" w14:textId="589B2D30" w:rsidR="00E90E49" w:rsidRPr="00CE0424" w:rsidRDefault="00C268E6" w:rsidP="00311702">
      <w:pPr>
        <w:pStyle w:val="3GPPHeader"/>
      </w:pPr>
      <w:r>
        <w:t xml:space="preserve">Electronic meeting, </w:t>
      </w:r>
      <w:r w:rsidR="0000104E">
        <w:t>25</w:t>
      </w:r>
      <w:r w:rsidR="0000104E" w:rsidRPr="0000104E">
        <w:rPr>
          <w:vertAlign w:val="superscript"/>
        </w:rPr>
        <w:t>th</w:t>
      </w:r>
      <w:r w:rsidR="0000104E">
        <w:t xml:space="preserve"> January</w:t>
      </w:r>
      <w:r w:rsidR="00D9310F">
        <w:t xml:space="preserve"> </w:t>
      </w:r>
      <w:r w:rsidR="0000104E">
        <w:t>–</w:t>
      </w:r>
      <w:r w:rsidR="00D9310F">
        <w:t xml:space="preserve"> </w:t>
      </w:r>
      <w:r w:rsidR="0000104E">
        <w:t>5</w:t>
      </w:r>
      <w:r w:rsidR="0000104E" w:rsidRPr="0000104E">
        <w:rPr>
          <w:vertAlign w:val="superscript"/>
        </w:rPr>
        <w:t>th</w:t>
      </w:r>
      <w:r w:rsidR="0000104E">
        <w:t xml:space="preserve"> February 2021</w:t>
      </w:r>
    </w:p>
    <w:p w14:paraId="3DE9CF60" w14:textId="77777777" w:rsidR="00E90E49" w:rsidRPr="00CE0424" w:rsidRDefault="00E90E49" w:rsidP="00357380">
      <w:pPr>
        <w:pStyle w:val="3GPPHeader"/>
      </w:pPr>
    </w:p>
    <w:p w14:paraId="4DC55A49" w14:textId="5ABCF2D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73A3D">
        <w:rPr>
          <w:sz w:val="22"/>
          <w:szCs w:val="22"/>
        </w:rPr>
        <w:t>5.4.3</w:t>
      </w:r>
    </w:p>
    <w:p w14:paraId="2725762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3211D3" w14:textId="1BFC04C3"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00104E" w:rsidRPr="0000104E">
        <w:rPr>
          <w:sz w:val="22"/>
          <w:szCs w:val="22"/>
        </w:rPr>
        <w:t>Dummify</w:t>
      </w:r>
      <w:proofErr w:type="spellEnd"/>
      <w:r w:rsidR="0000104E" w:rsidRPr="0000104E">
        <w:rPr>
          <w:sz w:val="22"/>
          <w:szCs w:val="22"/>
        </w:rPr>
        <w:t xml:space="preserve"> the capability bit v2x-EUTRA</w:t>
      </w:r>
    </w:p>
    <w:p w14:paraId="12E2C83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73A3D">
        <w:rPr>
          <w:sz w:val="22"/>
          <w:szCs w:val="22"/>
        </w:rPr>
        <w:t>Discussion, Decision</w:t>
      </w:r>
    </w:p>
    <w:p w14:paraId="21268892" w14:textId="77777777" w:rsidR="00E90E49" w:rsidRPr="00CE0424" w:rsidRDefault="00E90E49" w:rsidP="00E90E49"/>
    <w:p w14:paraId="5E52062E" w14:textId="77777777" w:rsidR="00E90E49" w:rsidRPr="00CE0424" w:rsidRDefault="00230D18" w:rsidP="00CE0424">
      <w:pPr>
        <w:pStyle w:val="Heading1"/>
      </w:pPr>
      <w:r>
        <w:t>1</w:t>
      </w:r>
      <w:r>
        <w:tab/>
      </w:r>
      <w:r w:rsidR="00E90E49" w:rsidRPr="00CE0424">
        <w:t>Introduction</w:t>
      </w:r>
    </w:p>
    <w:p w14:paraId="075D5D0D" w14:textId="77777777" w:rsidR="0000104E" w:rsidRDefault="0000104E" w:rsidP="00CE0424">
      <w:pPr>
        <w:pStyle w:val="BodyText"/>
      </w:pPr>
      <w:r>
        <w:t xml:space="preserve">In the last RAN2#112e meeting, there was a discussion on how to handle the capability </w:t>
      </w:r>
      <w:r w:rsidRPr="0000104E">
        <w:rPr>
          <w:i/>
          <w:iCs/>
        </w:rPr>
        <w:t>v2x-EUTRA</w:t>
      </w:r>
      <w:r>
        <w:rPr>
          <w:i/>
          <w:iCs/>
        </w:rPr>
        <w:t xml:space="preserve"> </w:t>
      </w:r>
      <w:r>
        <w:t>that was introduced in Rel-15, but that it was agreed to not be used for NR sidelink when this was specified during Rel-16.</w:t>
      </w:r>
    </w:p>
    <w:p w14:paraId="476D5A99" w14:textId="77777777" w:rsidR="0000104E" w:rsidRPr="0000104E" w:rsidRDefault="0000104E" w:rsidP="0000104E">
      <w:pPr>
        <w:pBdr>
          <w:top w:val="single" w:sz="4" w:space="1" w:color="000000" w:themeColor="text1"/>
          <w:left w:val="single" w:sz="4" w:space="0" w:color="000000" w:themeColor="text1"/>
          <w:bottom w:val="single" w:sz="4" w:space="1" w:color="000000" w:themeColor="text1"/>
          <w:right w:val="single" w:sz="4" w:space="4" w:color="000000" w:themeColor="text1"/>
        </w:pBdr>
        <w:overflowPunct/>
        <w:autoSpaceDE/>
        <w:autoSpaceDN/>
        <w:adjustRightInd/>
        <w:spacing w:before="60" w:after="0"/>
        <w:ind w:left="1259" w:hanging="1117"/>
        <w:textAlignment w:val="auto"/>
        <w:rPr>
          <w:rFonts w:ascii="Arial" w:eastAsia="MS Mincho" w:hAnsi="Arial"/>
          <w:noProof/>
          <w:szCs w:val="24"/>
          <w:lang w:eastAsia="en-GB"/>
        </w:rPr>
      </w:pPr>
      <w:r w:rsidRPr="0000104E">
        <w:rPr>
          <w:rFonts w:ascii="Arial" w:eastAsia="MS Mincho" w:hAnsi="Arial"/>
          <w:noProof/>
          <w:szCs w:val="24"/>
          <w:lang w:eastAsia="en-GB"/>
        </w:rPr>
        <w:t>R2-2009832</w:t>
      </w:r>
      <w:r w:rsidRPr="0000104E">
        <w:rPr>
          <w:rFonts w:ascii="Arial" w:eastAsia="MS Mincho" w:hAnsi="Arial"/>
          <w:noProof/>
          <w:szCs w:val="24"/>
          <w:lang w:eastAsia="en-GB"/>
        </w:rPr>
        <w:tab/>
        <w:t>UE capability for EUTRA V2X in DC</w:t>
      </w:r>
      <w:r w:rsidRPr="0000104E">
        <w:rPr>
          <w:rFonts w:ascii="Arial" w:eastAsia="MS Mincho" w:hAnsi="Arial"/>
          <w:noProof/>
          <w:szCs w:val="24"/>
          <w:lang w:eastAsia="en-GB"/>
        </w:rPr>
        <w:tab/>
        <w:t>vivo</w:t>
      </w:r>
      <w:r w:rsidRPr="0000104E">
        <w:rPr>
          <w:rFonts w:ascii="Arial" w:eastAsia="MS Mincho" w:hAnsi="Arial"/>
          <w:noProof/>
          <w:szCs w:val="24"/>
          <w:lang w:eastAsia="en-GB"/>
        </w:rPr>
        <w:tab/>
        <w:t>discussion</w:t>
      </w:r>
    </w:p>
    <w:p w14:paraId="4939894E" w14:textId="77777777" w:rsidR="0000104E" w:rsidRPr="0000104E" w:rsidRDefault="0000104E" w:rsidP="0000104E">
      <w:pPr>
        <w:pBdr>
          <w:top w:val="single" w:sz="4" w:space="1" w:color="000000" w:themeColor="text1"/>
          <w:left w:val="single" w:sz="4" w:space="0" w:color="000000" w:themeColor="text1"/>
          <w:bottom w:val="single" w:sz="4" w:space="1" w:color="000000" w:themeColor="text1"/>
          <w:right w:val="single" w:sz="4" w:space="4" w:color="000000" w:themeColor="text1"/>
        </w:pBdr>
        <w:overflowPunct/>
        <w:autoSpaceDE/>
        <w:autoSpaceDN/>
        <w:adjustRightInd/>
        <w:spacing w:before="60" w:after="0"/>
        <w:ind w:left="1259" w:hanging="1117"/>
        <w:textAlignment w:val="auto"/>
        <w:rPr>
          <w:rFonts w:ascii="Arial" w:eastAsia="MS Mincho" w:hAnsi="Arial"/>
          <w:noProof/>
          <w:szCs w:val="24"/>
          <w:lang w:eastAsia="en-GB"/>
        </w:rPr>
      </w:pPr>
      <w:r w:rsidRPr="0000104E">
        <w:rPr>
          <w:rFonts w:ascii="Arial" w:eastAsia="MS Mincho" w:hAnsi="Arial"/>
          <w:noProof/>
          <w:szCs w:val="24"/>
          <w:lang w:eastAsia="en-GB"/>
        </w:rPr>
        <w:t>R2-2010336</w:t>
      </w:r>
      <w:r w:rsidRPr="0000104E">
        <w:rPr>
          <w:rFonts w:ascii="Arial" w:eastAsia="MS Mincho" w:hAnsi="Arial"/>
          <w:noProof/>
          <w:szCs w:val="24"/>
          <w:lang w:eastAsia="en-GB"/>
        </w:rPr>
        <w:tab/>
        <w:t>Correction on the capability bit v2x-EUTRA of option-1</w:t>
      </w:r>
      <w:r w:rsidRPr="0000104E">
        <w:rPr>
          <w:rFonts w:ascii="Arial" w:eastAsia="MS Mincho" w:hAnsi="Arial"/>
          <w:noProof/>
          <w:szCs w:val="24"/>
          <w:lang w:eastAsia="en-GB"/>
        </w:rPr>
        <w:tab/>
        <w:t>vivo</w:t>
      </w:r>
      <w:r w:rsidRPr="0000104E">
        <w:rPr>
          <w:rFonts w:ascii="Arial" w:eastAsia="MS Mincho" w:hAnsi="Arial"/>
          <w:noProof/>
          <w:szCs w:val="24"/>
          <w:lang w:eastAsia="en-GB"/>
        </w:rPr>
        <w:tab/>
        <w:t>CR</w:t>
      </w:r>
      <w:r w:rsidRPr="0000104E">
        <w:rPr>
          <w:rFonts w:ascii="Arial" w:eastAsia="MS Mincho" w:hAnsi="Arial"/>
          <w:noProof/>
          <w:szCs w:val="24"/>
          <w:lang w:eastAsia="en-GB"/>
        </w:rPr>
        <w:tab/>
        <w:t>Rel-15</w:t>
      </w:r>
      <w:r w:rsidRPr="0000104E">
        <w:rPr>
          <w:rFonts w:ascii="Arial" w:eastAsia="MS Mincho" w:hAnsi="Arial"/>
          <w:noProof/>
          <w:szCs w:val="24"/>
          <w:lang w:eastAsia="en-GB"/>
        </w:rPr>
        <w:tab/>
        <w:t>38.306</w:t>
      </w:r>
      <w:r w:rsidRPr="0000104E">
        <w:rPr>
          <w:rFonts w:ascii="Arial" w:eastAsia="MS Mincho" w:hAnsi="Arial"/>
          <w:noProof/>
          <w:szCs w:val="24"/>
          <w:lang w:eastAsia="en-GB"/>
        </w:rPr>
        <w:tab/>
        <w:t>15.11.0</w:t>
      </w:r>
      <w:r w:rsidRPr="0000104E">
        <w:rPr>
          <w:rFonts w:ascii="Arial" w:eastAsia="MS Mincho" w:hAnsi="Arial"/>
          <w:noProof/>
          <w:szCs w:val="24"/>
          <w:lang w:eastAsia="en-GB"/>
        </w:rPr>
        <w:tab/>
        <w:t>0444</w:t>
      </w:r>
      <w:r w:rsidRPr="0000104E">
        <w:rPr>
          <w:rFonts w:ascii="Arial" w:eastAsia="MS Mincho" w:hAnsi="Arial"/>
          <w:noProof/>
          <w:szCs w:val="24"/>
          <w:lang w:eastAsia="en-GB"/>
        </w:rPr>
        <w:tab/>
        <w:t>-</w:t>
      </w:r>
      <w:r w:rsidRPr="0000104E">
        <w:rPr>
          <w:rFonts w:ascii="Arial" w:eastAsia="MS Mincho" w:hAnsi="Arial"/>
          <w:noProof/>
          <w:szCs w:val="24"/>
          <w:lang w:eastAsia="en-GB"/>
        </w:rPr>
        <w:tab/>
        <w:t>F</w:t>
      </w:r>
      <w:r w:rsidRPr="0000104E">
        <w:rPr>
          <w:rFonts w:ascii="Arial" w:eastAsia="MS Mincho" w:hAnsi="Arial"/>
          <w:noProof/>
          <w:szCs w:val="24"/>
          <w:lang w:eastAsia="en-GB"/>
        </w:rPr>
        <w:tab/>
        <w:t>NR_newRAT-Core</w:t>
      </w:r>
    </w:p>
    <w:p w14:paraId="3F555A7D" w14:textId="77777777" w:rsidR="0000104E" w:rsidRPr="0000104E" w:rsidRDefault="0000104E" w:rsidP="0000104E">
      <w:pPr>
        <w:pBdr>
          <w:top w:val="single" w:sz="4" w:space="1" w:color="000000" w:themeColor="text1"/>
          <w:left w:val="single" w:sz="4" w:space="0" w:color="000000" w:themeColor="text1"/>
          <w:bottom w:val="single" w:sz="4" w:space="1" w:color="000000" w:themeColor="text1"/>
          <w:right w:val="single" w:sz="4" w:space="4" w:color="000000" w:themeColor="text1"/>
        </w:pBdr>
        <w:overflowPunct/>
        <w:autoSpaceDE/>
        <w:autoSpaceDN/>
        <w:adjustRightInd/>
        <w:spacing w:before="60" w:after="0"/>
        <w:ind w:left="1259" w:hanging="1117"/>
        <w:textAlignment w:val="auto"/>
        <w:rPr>
          <w:rFonts w:ascii="Arial" w:eastAsia="MS Mincho" w:hAnsi="Arial"/>
          <w:noProof/>
          <w:szCs w:val="24"/>
          <w:lang w:eastAsia="en-GB"/>
        </w:rPr>
      </w:pPr>
      <w:r w:rsidRPr="0000104E">
        <w:rPr>
          <w:rFonts w:ascii="Arial" w:eastAsia="MS Mincho" w:hAnsi="Arial"/>
          <w:noProof/>
          <w:szCs w:val="24"/>
          <w:lang w:eastAsia="en-GB"/>
        </w:rPr>
        <w:t>R2-2010337</w:t>
      </w:r>
      <w:r w:rsidRPr="0000104E">
        <w:rPr>
          <w:rFonts w:ascii="Arial" w:eastAsia="MS Mincho" w:hAnsi="Arial"/>
          <w:noProof/>
          <w:szCs w:val="24"/>
          <w:lang w:eastAsia="en-GB"/>
        </w:rPr>
        <w:tab/>
        <w:t>Correction on the capability bit v2x-EUTRA of option-2</w:t>
      </w:r>
      <w:r w:rsidRPr="0000104E">
        <w:rPr>
          <w:rFonts w:ascii="Arial" w:eastAsia="MS Mincho" w:hAnsi="Arial"/>
          <w:noProof/>
          <w:szCs w:val="24"/>
          <w:lang w:eastAsia="en-GB"/>
        </w:rPr>
        <w:tab/>
        <w:t>vivo</w:t>
      </w:r>
      <w:r w:rsidRPr="0000104E">
        <w:rPr>
          <w:rFonts w:ascii="Arial" w:eastAsia="MS Mincho" w:hAnsi="Arial"/>
          <w:noProof/>
          <w:szCs w:val="24"/>
          <w:lang w:eastAsia="en-GB"/>
        </w:rPr>
        <w:tab/>
        <w:t>CR</w:t>
      </w:r>
      <w:r w:rsidRPr="0000104E">
        <w:rPr>
          <w:rFonts w:ascii="Arial" w:eastAsia="MS Mincho" w:hAnsi="Arial"/>
          <w:noProof/>
          <w:szCs w:val="24"/>
          <w:lang w:eastAsia="en-GB"/>
        </w:rPr>
        <w:tab/>
        <w:t>Rel-15</w:t>
      </w:r>
      <w:r w:rsidRPr="0000104E">
        <w:rPr>
          <w:rFonts w:ascii="Arial" w:eastAsia="MS Mincho" w:hAnsi="Arial"/>
          <w:noProof/>
          <w:szCs w:val="24"/>
          <w:lang w:eastAsia="en-GB"/>
        </w:rPr>
        <w:tab/>
        <w:t>38.306</w:t>
      </w:r>
      <w:r w:rsidRPr="0000104E">
        <w:rPr>
          <w:rFonts w:ascii="Arial" w:eastAsia="MS Mincho" w:hAnsi="Arial"/>
          <w:noProof/>
          <w:szCs w:val="24"/>
          <w:lang w:eastAsia="en-GB"/>
        </w:rPr>
        <w:tab/>
        <w:t>15.11.0</w:t>
      </w:r>
      <w:r w:rsidRPr="0000104E">
        <w:rPr>
          <w:rFonts w:ascii="Arial" w:eastAsia="MS Mincho" w:hAnsi="Arial"/>
          <w:noProof/>
          <w:szCs w:val="24"/>
          <w:lang w:eastAsia="en-GB"/>
        </w:rPr>
        <w:tab/>
        <w:t>0445</w:t>
      </w:r>
      <w:r w:rsidRPr="0000104E">
        <w:rPr>
          <w:rFonts w:ascii="Arial" w:eastAsia="MS Mincho" w:hAnsi="Arial"/>
          <w:noProof/>
          <w:szCs w:val="24"/>
          <w:lang w:eastAsia="en-GB"/>
        </w:rPr>
        <w:tab/>
        <w:t>-</w:t>
      </w:r>
      <w:r w:rsidRPr="0000104E">
        <w:rPr>
          <w:rFonts w:ascii="Arial" w:eastAsia="MS Mincho" w:hAnsi="Arial"/>
          <w:noProof/>
          <w:szCs w:val="24"/>
          <w:lang w:eastAsia="en-GB"/>
        </w:rPr>
        <w:tab/>
        <w:t>F</w:t>
      </w:r>
      <w:r w:rsidRPr="0000104E">
        <w:rPr>
          <w:rFonts w:ascii="Arial" w:eastAsia="MS Mincho" w:hAnsi="Arial"/>
          <w:noProof/>
          <w:szCs w:val="24"/>
          <w:lang w:eastAsia="en-GB"/>
        </w:rPr>
        <w:tab/>
        <w:t>NR_newRAT-Core</w:t>
      </w:r>
    </w:p>
    <w:p w14:paraId="487D4F7E" w14:textId="77777777" w:rsidR="0000104E" w:rsidRPr="0000104E" w:rsidRDefault="0000104E" w:rsidP="0000104E">
      <w:pPr>
        <w:pBdr>
          <w:top w:val="single" w:sz="4" w:space="1" w:color="000000" w:themeColor="text1"/>
          <w:left w:val="single" w:sz="4" w:space="0" w:color="000000" w:themeColor="text1"/>
          <w:bottom w:val="single" w:sz="4" w:space="1" w:color="000000" w:themeColor="text1"/>
          <w:right w:val="single" w:sz="4" w:space="4" w:color="000000" w:themeColor="text1"/>
        </w:pBdr>
        <w:overflowPunct/>
        <w:autoSpaceDE/>
        <w:autoSpaceDN/>
        <w:adjustRightInd/>
        <w:spacing w:before="60" w:after="0"/>
        <w:ind w:left="1259" w:hanging="1117"/>
        <w:textAlignment w:val="auto"/>
        <w:rPr>
          <w:rFonts w:ascii="Arial" w:eastAsia="MS Mincho" w:hAnsi="Arial"/>
          <w:noProof/>
          <w:szCs w:val="24"/>
          <w:lang w:eastAsia="en-GB"/>
        </w:rPr>
      </w:pPr>
      <w:r w:rsidRPr="0000104E">
        <w:rPr>
          <w:rFonts w:ascii="Arial" w:eastAsia="MS Mincho" w:hAnsi="Arial"/>
          <w:noProof/>
          <w:szCs w:val="24"/>
          <w:lang w:eastAsia="en-GB"/>
        </w:rPr>
        <w:t>R2-2010338</w:t>
      </w:r>
      <w:r w:rsidRPr="0000104E">
        <w:rPr>
          <w:rFonts w:ascii="Arial" w:eastAsia="MS Mincho" w:hAnsi="Arial"/>
          <w:noProof/>
          <w:szCs w:val="24"/>
          <w:lang w:eastAsia="en-GB"/>
        </w:rPr>
        <w:tab/>
        <w:t>Correction on the capability bit v2x-EUTRA of option-3</w:t>
      </w:r>
      <w:r w:rsidRPr="0000104E">
        <w:rPr>
          <w:rFonts w:ascii="Arial" w:eastAsia="MS Mincho" w:hAnsi="Arial"/>
          <w:noProof/>
          <w:szCs w:val="24"/>
          <w:lang w:eastAsia="en-GB"/>
        </w:rPr>
        <w:tab/>
        <w:t>vivo</w:t>
      </w:r>
      <w:r w:rsidRPr="0000104E">
        <w:rPr>
          <w:rFonts w:ascii="Arial" w:eastAsia="MS Mincho" w:hAnsi="Arial"/>
          <w:noProof/>
          <w:szCs w:val="24"/>
          <w:lang w:eastAsia="en-GB"/>
        </w:rPr>
        <w:tab/>
        <w:t>CR</w:t>
      </w:r>
      <w:r w:rsidRPr="0000104E">
        <w:rPr>
          <w:rFonts w:ascii="Arial" w:eastAsia="MS Mincho" w:hAnsi="Arial"/>
          <w:noProof/>
          <w:szCs w:val="24"/>
          <w:lang w:eastAsia="en-GB"/>
        </w:rPr>
        <w:tab/>
        <w:t>Rel-15</w:t>
      </w:r>
      <w:r w:rsidRPr="0000104E">
        <w:rPr>
          <w:rFonts w:ascii="Arial" w:eastAsia="MS Mincho" w:hAnsi="Arial"/>
          <w:noProof/>
          <w:szCs w:val="24"/>
          <w:lang w:eastAsia="en-GB"/>
        </w:rPr>
        <w:tab/>
        <w:t>38.331</w:t>
      </w:r>
      <w:r w:rsidRPr="0000104E">
        <w:rPr>
          <w:rFonts w:ascii="Arial" w:eastAsia="MS Mincho" w:hAnsi="Arial"/>
          <w:noProof/>
          <w:szCs w:val="24"/>
          <w:lang w:eastAsia="en-GB"/>
        </w:rPr>
        <w:tab/>
        <w:t>15.11.0</w:t>
      </w:r>
      <w:r w:rsidRPr="0000104E">
        <w:rPr>
          <w:rFonts w:ascii="Arial" w:eastAsia="MS Mincho" w:hAnsi="Arial"/>
          <w:noProof/>
          <w:szCs w:val="24"/>
          <w:lang w:eastAsia="en-GB"/>
        </w:rPr>
        <w:tab/>
        <w:t>2206</w:t>
      </w:r>
      <w:r w:rsidRPr="0000104E">
        <w:rPr>
          <w:rFonts w:ascii="Arial" w:eastAsia="MS Mincho" w:hAnsi="Arial"/>
          <w:noProof/>
          <w:szCs w:val="24"/>
          <w:lang w:eastAsia="en-GB"/>
        </w:rPr>
        <w:tab/>
        <w:t>-</w:t>
      </w:r>
      <w:r w:rsidRPr="0000104E">
        <w:rPr>
          <w:rFonts w:ascii="Arial" w:eastAsia="MS Mincho" w:hAnsi="Arial"/>
          <w:noProof/>
          <w:szCs w:val="24"/>
          <w:lang w:eastAsia="en-GB"/>
        </w:rPr>
        <w:tab/>
        <w:t>F</w:t>
      </w:r>
      <w:r w:rsidRPr="0000104E">
        <w:rPr>
          <w:rFonts w:ascii="Arial" w:eastAsia="MS Mincho" w:hAnsi="Arial"/>
          <w:noProof/>
          <w:szCs w:val="24"/>
          <w:lang w:eastAsia="en-GB"/>
        </w:rPr>
        <w:tab/>
        <w:t>NR_newRAT-Core</w:t>
      </w:r>
    </w:p>
    <w:p w14:paraId="0A5F65B3" w14:textId="2F65A65D" w:rsidR="0000104E" w:rsidRPr="0000104E" w:rsidRDefault="0000104E" w:rsidP="0000104E">
      <w:pPr>
        <w:pBdr>
          <w:top w:val="single" w:sz="4" w:space="1" w:color="000000" w:themeColor="text1"/>
          <w:left w:val="single" w:sz="4" w:space="0" w:color="000000" w:themeColor="text1"/>
          <w:bottom w:val="single" w:sz="4" w:space="1" w:color="000000" w:themeColor="text1"/>
          <w:right w:val="single" w:sz="4" w:space="4" w:color="000000" w:themeColor="text1"/>
        </w:pBdr>
        <w:overflowPunct/>
        <w:autoSpaceDE/>
        <w:autoSpaceDN/>
        <w:adjustRightInd/>
        <w:spacing w:before="60" w:after="0"/>
        <w:ind w:left="1259" w:hanging="1117"/>
        <w:textAlignment w:val="auto"/>
        <w:rPr>
          <w:rFonts w:ascii="Arial" w:eastAsia="MS Mincho" w:hAnsi="Arial"/>
          <w:noProof/>
          <w:szCs w:val="24"/>
          <w:lang w:eastAsia="en-GB"/>
        </w:rPr>
      </w:pPr>
      <w:r w:rsidRPr="0000104E">
        <w:rPr>
          <w:rFonts w:ascii="Arial" w:eastAsia="MS Mincho" w:hAnsi="Arial"/>
          <w:noProof/>
          <w:szCs w:val="24"/>
          <w:lang w:eastAsia="en-GB"/>
        </w:rPr>
        <w:tab/>
        <w:t>[OPPO, Ericsson, CATT, Huawei]: Do not think option1 and option2 can solve the issue, but we’re also ok to leave it as it is. [Ericsson]: If we want to change this bit, it needs to take some offline checking with capability guys since it was decided in the main session long time ago.</w:t>
      </w:r>
      <w:r>
        <w:rPr>
          <w:rFonts w:ascii="Arial" w:eastAsia="MS Mincho" w:hAnsi="Arial"/>
          <w:noProof/>
          <w:szCs w:val="24"/>
          <w:lang w:eastAsia="en-GB"/>
        </w:rPr>
        <w:br/>
      </w:r>
      <w:r>
        <w:rPr>
          <w:rFonts w:ascii="Arial" w:eastAsia="MS Mincho" w:hAnsi="Arial"/>
          <w:noProof/>
          <w:szCs w:val="24"/>
          <w:lang w:eastAsia="en-GB"/>
        </w:rPr>
        <w:br/>
        <w:t>=&gt; Noted</w:t>
      </w:r>
    </w:p>
    <w:p w14:paraId="0BC3F4F2" w14:textId="62564F7D" w:rsidR="00477768" w:rsidRDefault="00477768" w:rsidP="00CE0424">
      <w:pPr>
        <w:pStyle w:val="BodyText"/>
      </w:pPr>
    </w:p>
    <w:p w14:paraId="1041CFC9" w14:textId="6F324CE6" w:rsidR="0000104E" w:rsidRPr="0000104E" w:rsidRDefault="0000104E" w:rsidP="0000104E">
      <w:pPr>
        <w:pStyle w:val="BodyText"/>
      </w:pPr>
      <w:r>
        <w:t>In this contribution, we address this open issue by providing some motivation on whether this capability should be dummied and not used anymore.</w:t>
      </w:r>
    </w:p>
    <w:p w14:paraId="7798A068" w14:textId="77777777" w:rsidR="004000E8" w:rsidRPr="00CE0424" w:rsidRDefault="00230D18" w:rsidP="00CE0424">
      <w:pPr>
        <w:pStyle w:val="Heading1"/>
      </w:pPr>
      <w:bookmarkStart w:id="0" w:name="_Ref178064866"/>
      <w:r>
        <w:t>2</w:t>
      </w:r>
      <w:r>
        <w:tab/>
      </w:r>
      <w:r w:rsidR="004000E8" w:rsidRPr="00CE0424">
        <w:t>Discussion</w:t>
      </w:r>
      <w:bookmarkEnd w:id="0"/>
    </w:p>
    <w:p w14:paraId="2CB52CB6" w14:textId="1E990C60" w:rsidR="00374A3A" w:rsidRDefault="00145A1C" w:rsidP="00145A1C">
      <w:pPr>
        <w:pStyle w:val="BodyText"/>
      </w:pPr>
      <w:r>
        <w:t>In the RAN2#11</w:t>
      </w:r>
      <w:r w:rsidR="00374A3A">
        <w:t>0</w:t>
      </w:r>
      <w:r>
        <w:t>e</w:t>
      </w:r>
      <w:r w:rsidR="00374A3A">
        <w:t xml:space="preserve"> and RAN2#111e</w:t>
      </w:r>
      <w:r>
        <w:t xml:space="preserve"> meeting</w:t>
      </w:r>
      <w:r w:rsidR="00374A3A">
        <w:t>s</w:t>
      </w:r>
      <w:r>
        <w:t>, it was discussed whether i</w:t>
      </w:r>
      <w:r w:rsidR="00374A3A">
        <w:t>t</w:t>
      </w:r>
      <w:r>
        <w:t xml:space="preserve"> was necessary to introduce </w:t>
      </w:r>
      <w:r w:rsidR="00374A3A">
        <w:t>UE capabilities parameters to indicate whether UE supports the PC5 BC for the MR-DC scenarios. The outcome has been that no capability signalling will be introduced for this case in Rel-16 (since also RAN4 did not agree to support this use case i.e., SL configured with MR-DC).</w:t>
      </w:r>
    </w:p>
    <w:p w14:paraId="38E9ADBE" w14:textId="77777777" w:rsidR="00374A3A" w:rsidRDefault="00374A3A" w:rsidP="00145A1C">
      <w:pPr>
        <w:pStyle w:val="BodyText"/>
      </w:pPr>
    </w:p>
    <w:p w14:paraId="71A8F373" w14:textId="5B44323A" w:rsidR="00374A3A" w:rsidRPr="00374A3A" w:rsidRDefault="00374A3A" w:rsidP="00374A3A">
      <w:pPr>
        <w:pBdr>
          <w:top w:val="single" w:sz="4" w:space="1" w:color="auto"/>
          <w:left w:val="single" w:sz="4" w:space="4" w:color="auto"/>
          <w:bottom w:val="single" w:sz="4" w:space="1" w:color="auto"/>
          <w:right w:val="single" w:sz="4" w:space="4" w:color="auto"/>
        </w:pBdr>
        <w:tabs>
          <w:tab w:val="left" w:pos="1622"/>
        </w:tabs>
        <w:ind w:left="993" w:right="283" w:hanging="284"/>
        <w:rPr>
          <w:b/>
          <w:bCs/>
          <w:noProof/>
        </w:rPr>
      </w:pPr>
      <w:r w:rsidRPr="00374A3A">
        <w:rPr>
          <w:b/>
          <w:bCs/>
          <w:noProof/>
        </w:rPr>
        <w:t>From RAN2#110e</w:t>
      </w:r>
      <w:r w:rsidRPr="00374A3A">
        <w:rPr>
          <w:b/>
          <w:bCs/>
          <w:noProof/>
        </w:rPr>
        <w:tab/>
      </w:r>
    </w:p>
    <w:p w14:paraId="6D5D1A31" w14:textId="707C7532" w:rsidR="00374A3A" w:rsidRDefault="00374A3A" w:rsidP="00374A3A">
      <w:pPr>
        <w:pBdr>
          <w:top w:val="single" w:sz="4" w:space="1" w:color="auto"/>
          <w:left w:val="single" w:sz="4" w:space="4" w:color="auto"/>
          <w:bottom w:val="single" w:sz="4" w:space="1" w:color="auto"/>
          <w:right w:val="single" w:sz="4" w:space="4" w:color="auto"/>
        </w:pBdr>
        <w:tabs>
          <w:tab w:val="left" w:pos="1622"/>
        </w:tabs>
        <w:ind w:left="993" w:right="283" w:hanging="284"/>
        <w:rPr>
          <w:noProof/>
        </w:rPr>
      </w:pPr>
      <w:r>
        <w:rPr>
          <w:noProof/>
        </w:rPr>
        <w:t>RAN2 can attempt to introduce signaling for PC5 BC for (NG)EN/NE-DC scenario in CR implementation. If not so complicated, we introduce the signaling but otherwise we do not introduce it. Note with introduction of signaling, it does not mean RAN4 should introduce the corresponding BC now.</w:t>
      </w:r>
    </w:p>
    <w:p w14:paraId="4A941962" w14:textId="77777777" w:rsidR="00374A3A" w:rsidRDefault="00374A3A" w:rsidP="00374A3A">
      <w:pPr>
        <w:pBdr>
          <w:top w:val="single" w:sz="4" w:space="1" w:color="auto"/>
          <w:left w:val="single" w:sz="4" w:space="4" w:color="auto"/>
          <w:bottom w:val="single" w:sz="4" w:space="1" w:color="auto"/>
          <w:right w:val="single" w:sz="4" w:space="4" w:color="auto"/>
        </w:pBdr>
        <w:tabs>
          <w:tab w:val="left" w:pos="1622"/>
        </w:tabs>
        <w:ind w:left="993" w:right="283" w:hanging="284"/>
        <w:rPr>
          <w:b/>
          <w:bCs/>
          <w:noProof/>
        </w:rPr>
      </w:pPr>
    </w:p>
    <w:p w14:paraId="7815F0B9" w14:textId="7435AF54" w:rsidR="00374A3A" w:rsidRPr="00374A3A" w:rsidRDefault="00374A3A" w:rsidP="00374A3A">
      <w:pPr>
        <w:pBdr>
          <w:top w:val="single" w:sz="4" w:space="1" w:color="auto"/>
          <w:left w:val="single" w:sz="4" w:space="4" w:color="auto"/>
          <w:bottom w:val="single" w:sz="4" w:space="1" w:color="auto"/>
          <w:right w:val="single" w:sz="4" w:space="4" w:color="auto"/>
        </w:pBdr>
        <w:tabs>
          <w:tab w:val="left" w:pos="1622"/>
        </w:tabs>
        <w:ind w:left="993" w:right="283" w:hanging="284"/>
        <w:rPr>
          <w:b/>
          <w:bCs/>
          <w:noProof/>
        </w:rPr>
      </w:pPr>
      <w:r w:rsidRPr="00374A3A">
        <w:rPr>
          <w:b/>
          <w:bCs/>
          <w:noProof/>
        </w:rPr>
        <w:t>From RAN2#111e</w:t>
      </w:r>
    </w:p>
    <w:p w14:paraId="0B2EF482" w14:textId="6247D07B" w:rsidR="00374A3A" w:rsidRDefault="00374A3A" w:rsidP="00374A3A">
      <w:pPr>
        <w:pBdr>
          <w:top w:val="single" w:sz="4" w:space="1" w:color="auto"/>
          <w:left w:val="single" w:sz="4" w:space="4" w:color="auto"/>
          <w:bottom w:val="single" w:sz="4" w:space="1" w:color="auto"/>
          <w:right w:val="single" w:sz="4" w:space="4" w:color="auto"/>
        </w:pBdr>
        <w:tabs>
          <w:tab w:val="left" w:pos="1622"/>
        </w:tabs>
        <w:ind w:left="993" w:right="283" w:hanging="284"/>
        <w:rPr>
          <w:noProof/>
        </w:rPr>
      </w:pPr>
      <w:r>
        <w:rPr>
          <w:noProof/>
        </w:rPr>
        <w:lastRenderedPageBreak/>
        <w:t>A parameter to indicate whether UE supports PC5 BC when NR Uu BC is configured as NR-DC is not supported in this release.</w:t>
      </w:r>
      <w:r>
        <w:rPr>
          <w:noProof/>
        </w:rPr>
        <w:tab/>
      </w:r>
    </w:p>
    <w:p w14:paraId="17FD9808" w14:textId="2E9EA5C9" w:rsidR="00145A1C" w:rsidRDefault="00374A3A" w:rsidP="00145A1C">
      <w:pPr>
        <w:pStyle w:val="BodyText"/>
      </w:pPr>
      <w:r>
        <w:t xml:space="preserve"> </w:t>
      </w:r>
    </w:p>
    <w:p w14:paraId="5E82F1D8" w14:textId="5938CD7C" w:rsidR="00145A1C" w:rsidRDefault="00374A3A" w:rsidP="00145A1C">
      <w:pPr>
        <w:pStyle w:val="BodyText"/>
      </w:pPr>
      <w:r>
        <w:t xml:space="preserve">The agreements taken basically means that the UE should not report any sidelink capabilities when is configured with MR-DC. According to this, the capability </w:t>
      </w:r>
      <w:r w:rsidRPr="00374A3A">
        <w:rPr>
          <w:i/>
          <w:iCs/>
        </w:rPr>
        <w:t>v2x-EUTRA</w:t>
      </w:r>
      <w:r>
        <w:t xml:space="preserve"> introduced during Rel-15 in the context of EN-DC it becomes meaningless.</w:t>
      </w:r>
    </w:p>
    <w:p w14:paraId="7330057B" w14:textId="77777777" w:rsidR="00374A3A" w:rsidRDefault="00374A3A" w:rsidP="00145A1C">
      <w:pPr>
        <w:pStyle w:val="BodyText"/>
      </w:pPr>
    </w:p>
    <w:tbl>
      <w:tblPr>
        <w:tblW w:w="0" w:type="auto"/>
        <w:tblInd w:w="108" w:type="dxa"/>
        <w:tblCellMar>
          <w:left w:w="0" w:type="dxa"/>
          <w:right w:w="0" w:type="dxa"/>
        </w:tblCellMar>
        <w:tblLook w:val="04A0" w:firstRow="1" w:lastRow="0" w:firstColumn="1" w:lastColumn="0" w:noHBand="0" w:noVBand="1"/>
      </w:tblPr>
      <w:tblGrid>
        <w:gridCol w:w="6834"/>
        <w:gridCol w:w="704"/>
        <w:gridCol w:w="565"/>
        <w:gridCol w:w="705"/>
        <w:gridCol w:w="703"/>
      </w:tblGrid>
      <w:tr w:rsidR="00374A3A" w:rsidRPr="00374A3A" w14:paraId="6E123066" w14:textId="77777777" w:rsidTr="00374A3A">
        <w:tc>
          <w:tcPr>
            <w:tcW w:w="6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55FFD" w14:textId="77777777" w:rsidR="00374A3A" w:rsidRPr="00374A3A" w:rsidRDefault="00374A3A" w:rsidP="00374A3A">
            <w:pPr>
              <w:overflowPunct/>
              <w:autoSpaceDE/>
              <w:autoSpaceDN/>
              <w:adjustRightInd/>
              <w:spacing w:after="0"/>
              <w:textAlignment w:val="auto"/>
              <w:rPr>
                <w:rFonts w:ascii="Arial" w:hAnsi="Arial" w:cs="Arial"/>
                <w:color w:val="212529"/>
                <w:sz w:val="18"/>
                <w:szCs w:val="18"/>
                <w:lang w:val="en-FI" w:eastAsia="en-GB"/>
              </w:rPr>
            </w:pPr>
            <w:r w:rsidRPr="00374A3A">
              <w:rPr>
                <w:rFonts w:ascii="Arial" w:hAnsi="Arial" w:cs="Arial"/>
                <w:b/>
                <w:bCs/>
                <w:i/>
                <w:iCs/>
                <w:color w:val="212529"/>
                <w:sz w:val="18"/>
                <w:szCs w:val="18"/>
                <w:lang w:eastAsia="en-GB"/>
              </w:rPr>
              <w:t>v2x-EUTRA</w:t>
            </w:r>
          </w:p>
          <w:p w14:paraId="5C801D63" w14:textId="77777777" w:rsidR="00374A3A" w:rsidRPr="00374A3A" w:rsidRDefault="00374A3A" w:rsidP="00374A3A">
            <w:pPr>
              <w:overflowPunct/>
              <w:autoSpaceDE/>
              <w:autoSpaceDN/>
              <w:adjustRightInd/>
              <w:spacing w:after="0"/>
              <w:textAlignment w:val="auto"/>
              <w:rPr>
                <w:rFonts w:ascii="Arial" w:hAnsi="Arial" w:cs="Arial"/>
                <w:color w:val="212529"/>
                <w:sz w:val="18"/>
                <w:szCs w:val="18"/>
                <w:lang w:val="en-FI" w:eastAsia="en-GB"/>
              </w:rPr>
            </w:pPr>
            <w:r w:rsidRPr="00374A3A">
              <w:rPr>
                <w:rFonts w:ascii="Arial" w:hAnsi="Arial" w:cs="Arial"/>
                <w:color w:val="212529"/>
                <w:sz w:val="18"/>
                <w:szCs w:val="18"/>
                <w:lang w:eastAsia="en-GB"/>
              </w:rPr>
              <w:t>Indicates whether the UE supports EUTRA V2X according to </w:t>
            </w:r>
            <w:r w:rsidRPr="00374A3A">
              <w:rPr>
                <w:rFonts w:ascii="Arial" w:hAnsi="Arial" w:cs="Arial"/>
                <w:i/>
                <w:iCs/>
                <w:color w:val="212529"/>
                <w:sz w:val="18"/>
                <w:szCs w:val="18"/>
                <w:lang w:eastAsia="en-GB"/>
              </w:rPr>
              <w:t>UE-EUTRA-</w:t>
            </w:r>
            <w:proofErr w:type="spellStart"/>
            <w:r w:rsidRPr="00374A3A">
              <w:rPr>
                <w:rFonts w:ascii="Arial" w:hAnsi="Arial" w:cs="Arial"/>
                <w:i/>
                <w:iCs/>
                <w:color w:val="212529"/>
                <w:sz w:val="18"/>
                <w:szCs w:val="18"/>
                <w:lang w:eastAsia="en-GB"/>
              </w:rPr>
              <w:t>Capability</w:t>
            </w:r>
            <w:r w:rsidRPr="00374A3A">
              <w:rPr>
                <w:rFonts w:ascii="Arial" w:hAnsi="Arial" w:cs="Arial"/>
                <w:color w:val="212529"/>
                <w:sz w:val="18"/>
                <w:szCs w:val="18"/>
                <w:lang w:eastAsia="en-GB"/>
              </w:rPr>
              <w:t>as</w:t>
            </w:r>
            <w:proofErr w:type="spellEnd"/>
            <w:r w:rsidRPr="00374A3A">
              <w:rPr>
                <w:rFonts w:ascii="Arial" w:hAnsi="Arial" w:cs="Arial"/>
                <w:color w:val="212529"/>
                <w:sz w:val="18"/>
                <w:szCs w:val="18"/>
                <w:lang w:eastAsia="en-GB"/>
              </w:rPr>
              <w:t xml:space="preserve"> defined in </w:t>
            </w:r>
            <w:r w:rsidRPr="00374A3A">
              <w:rPr>
                <w:rFonts w:ascii="Arial" w:hAnsi="Arial" w:cs="Arial"/>
                <w:color w:val="212529"/>
                <w:sz w:val="18"/>
                <w:szCs w:val="18"/>
                <w:lang w:val="en-US" w:eastAsia="en-GB"/>
              </w:rPr>
              <w:t>TS 36.331 [5]</w:t>
            </w:r>
            <w:r w:rsidRPr="00374A3A">
              <w:rPr>
                <w:rFonts w:ascii="Arial" w:hAnsi="Arial" w:cs="Arial"/>
                <w:color w:val="212529"/>
                <w:sz w:val="18"/>
                <w:szCs w:val="18"/>
                <w:lang w:eastAsia="en-GB"/>
              </w:rPr>
              <w:t xml:space="preserve">, independent of the configured EN-DC band combination. </w:t>
            </w:r>
            <w:r w:rsidRPr="00A84303">
              <w:rPr>
                <w:rFonts w:ascii="Arial" w:hAnsi="Arial" w:cs="Arial"/>
                <w:color w:val="212529"/>
                <w:sz w:val="18"/>
                <w:szCs w:val="18"/>
                <w:highlight w:val="yellow"/>
                <w:lang w:eastAsia="en-GB"/>
              </w:rPr>
              <w:t>This field is only applied to EN-DC. In UE-NR-Capability, this field is not used, and UE does not include the field</w:t>
            </w:r>
            <w:r w:rsidRPr="00374A3A">
              <w:rPr>
                <w:rFonts w:ascii="Arial" w:hAnsi="Arial" w:cs="Arial"/>
                <w:color w:val="212529"/>
                <w:sz w:val="18"/>
                <w:szCs w:val="18"/>
                <w:lang w:eastAsia="en-GB"/>
              </w:rPr>
              <w:t>.</w:t>
            </w:r>
          </w:p>
        </w:tc>
        <w:tc>
          <w:tcPr>
            <w:tcW w:w="70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F44CCF" w14:textId="4EFCF466" w:rsidR="00374A3A" w:rsidRPr="00374A3A" w:rsidRDefault="00374A3A" w:rsidP="00374A3A">
            <w:pPr>
              <w:overflowPunct/>
              <w:autoSpaceDE/>
              <w:autoSpaceDN/>
              <w:adjustRightInd/>
              <w:spacing w:after="0"/>
              <w:jc w:val="center"/>
              <w:textAlignment w:val="auto"/>
              <w:rPr>
                <w:rFonts w:ascii="Arial" w:hAnsi="Arial" w:cs="Arial"/>
                <w:color w:val="212529"/>
                <w:sz w:val="18"/>
                <w:szCs w:val="18"/>
                <w:lang w:val="en-FI" w:eastAsia="en-GB"/>
              </w:rPr>
            </w:pPr>
            <w:r>
              <w:rPr>
                <w:rFonts w:ascii="Arial" w:hAnsi="Arial" w:cs="Arial"/>
                <w:color w:val="212529"/>
                <w:sz w:val="18"/>
                <w:szCs w:val="18"/>
                <w:lang w:val="en-FI" w:eastAsia="en-GB"/>
              </w:rPr>
              <w:t>UE</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385FA" w14:textId="77777777" w:rsidR="00374A3A" w:rsidRPr="00374A3A" w:rsidRDefault="00374A3A" w:rsidP="00374A3A">
            <w:pPr>
              <w:overflowPunct/>
              <w:autoSpaceDE/>
              <w:autoSpaceDN/>
              <w:adjustRightInd/>
              <w:spacing w:after="0"/>
              <w:jc w:val="center"/>
              <w:textAlignment w:val="auto"/>
              <w:rPr>
                <w:rFonts w:ascii="Arial" w:hAnsi="Arial" w:cs="Arial"/>
                <w:color w:val="212529"/>
                <w:sz w:val="18"/>
                <w:szCs w:val="18"/>
                <w:lang w:val="en-FI" w:eastAsia="en-GB"/>
              </w:rPr>
            </w:pPr>
            <w:r w:rsidRPr="00374A3A">
              <w:rPr>
                <w:rFonts w:ascii="Arial" w:hAnsi="Arial" w:cs="Arial"/>
                <w:color w:val="212529"/>
                <w:sz w:val="18"/>
                <w:szCs w:val="18"/>
                <w:lang w:eastAsia="en-GB"/>
              </w:rP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7AD6D" w14:textId="77777777" w:rsidR="00374A3A" w:rsidRPr="00374A3A" w:rsidRDefault="00374A3A" w:rsidP="00374A3A">
            <w:pPr>
              <w:overflowPunct/>
              <w:autoSpaceDE/>
              <w:autoSpaceDN/>
              <w:adjustRightInd/>
              <w:spacing w:after="0"/>
              <w:jc w:val="center"/>
              <w:textAlignment w:val="auto"/>
              <w:rPr>
                <w:rFonts w:ascii="Arial" w:hAnsi="Arial" w:cs="Arial"/>
                <w:color w:val="212529"/>
                <w:sz w:val="18"/>
                <w:szCs w:val="18"/>
                <w:lang w:val="en-FI" w:eastAsia="en-GB"/>
              </w:rPr>
            </w:pPr>
            <w:r w:rsidRPr="00374A3A">
              <w:rPr>
                <w:rFonts w:ascii="Arial" w:hAnsi="Arial" w:cs="Arial"/>
                <w:color w:val="212529"/>
                <w:sz w:val="18"/>
                <w:szCs w:val="18"/>
                <w:lang w:eastAsia="en-GB"/>
              </w:rPr>
              <w:t>Yes</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4EDC3" w14:textId="77777777" w:rsidR="00374A3A" w:rsidRPr="00374A3A" w:rsidRDefault="00374A3A" w:rsidP="00374A3A">
            <w:pPr>
              <w:overflowPunct/>
              <w:autoSpaceDE/>
              <w:autoSpaceDN/>
              <w:adjustRightInd/>
              <w:spacing w:after="0"/>
              <w:jc w:val="center"/>
              <w:textAlignment w:val="auto"/>
              <w:rPr>
                <w:rFonts w:ascii="Arial" w:hAnsi="Arial" w:cs="Arial"/>
                <w:color w:val="212529"/>
                <w:sz w:val="18"/>
                <w:szCs w:val="18"/>
                <w:lang w:val="en-FI" w:eastAsia="en-GB"/>
              </w:rPr>
            </w:pPr>
            <w:r w:rsidRPr="00374A3A">
              <w:rPr>
                <w:rFonts w:ascii="Arial" w:hAnsi="Arial" w:cs="Arial"/>
                <w:color w:val="212529"/>
                <w:sz w:val="18"/>
                <w:szCs w:val="18"/>
                <w:lang w:eastAsia="en-GB"/>
              </w:rPr>
              <w:t>No</w:t>
            </w:r>
          </w:p>
        </w:tc>
      </w:tr>
    </w:tbl>
    <w:p w14:paraId="4AD79BBC" w14:textId="77777777" w:rsidR="00374A3A" w:rsidRPr="00374A3A" w:rsidRDefault="00374A3A" w:rsidP="00374A3A">
      <w:pPr>
        <w:overflowPunct/>
        <w:autoSpaceDE/>
        <w:autoSpaceDN/>
        <w:adjustRightInd/>
        <w:spacing w:after="0"/>
        <w:textAlignment w:val="auto"/>
        <w:rPr>
          <w:sz w:val="24"/>
          <w:szCs w:val="24"/>
          <w:lang w:val="en-FI" w:eastAsia="en-GB"/>
        </w:rPr>
      </w:pPr>
    </w:p>
    <w:p w14:paraId="053BA00F" w14:textId="01A6A415" w:rsidR="00374A3A" w:rsidRDefault="00374A3A" w:rsidP="00374A3A">
      <w:pPr>
        <w:pStyle w:val="Observation"/>
      </w:pPr>
      <w:bookmarkStart w:id="1" w:name="_Toc61536520"/>
      <w:r>
        <w:t xml:space="preserve">RAN2 agreed in Rel-16 </w:t>
      </w:r>
      <w:r w:rsidR="002D74F8">
        <w:t>that the UE does not report any PC5 capability when this is configured with MR-DC.</w:t>
      </w:r>
      <w:bookmarkEnd w:id="1"/>
    </w:p>
    <w:p w14:paraId="70F158CC" w14:textId="16058396" w:rsidR="002D74F8" w:rsidRDefault="002D74F8" w:rsidP="00374A3A">
      <w:pPr>
        <w:pStyle w:val="Observation"/>
      </w:pPr>
      <w:bookmarkStart w:id="2" w:name="_Toc61536521"/>
      <w:r>
        <w:t>According to the RAN2 agreements in Rel-16, the capability bit v2x-EUTRA introduced in Rel-15 has not meaning and is not used.</w:t>
      </w:r>
      <w:bookmarkEnd w:id="2"/>
    </w:p>
    <w:p w14:paraId="53A1F812" w14:textId="0BDBE7C5" w:rsidR="002D74F8" w:rsidRDefault="002D74F8" w:rsidP="00145A1C">
      <w:pPr>
        <w:pStyle w:val="BodyText"/>
      </w:pPr>
      <w:r>
        <w:t xml:space="preserve">According to this, and also taking into account that RAN4 do not intend to support sidelink with MR-DC not even in Rel-17, a straightforward and a clean solution would be to dummy the capability bit </w:t>
      </w:r>
      <w:r w:rsidRPr="002D74F8">
        <w:rPr>
          <w:i/>
          <w:iCs/>
        </w:rPr>
        <w:t>v2x-EUTRA</w:t>
      </w:r>
      <w:r>
        <w:rPr>
          <w:i/>
          <w:iCs/>
        </w:rPr>
        <w:t xml:space="preserve"> </w:t>
      </w:r>
      <w:r>
        <w:t xml:space="preserve">in TS 38.331 and TS 38.306 since this is not used in Rel-15 and Rel-16 and will not be used also in Rel-17. </w:t>
      </w:r>
      <w:proofErr w:type="gramStart"/>
      <w:r>
        <w:t>Thus</w:t>
      </w:r>
      <w:proofErr w:type="gramEnd"/>
      <w:r>
        <w:t xml:space="preserve"> we propose:</w:t>
      </w:r>
    </w:p>
    <w:p w14:paraId="0E571A3B" w14:textId="188E35AE" w:rsidR="002D74F8" w:rsidRDefault="002D74F8" w:rsidP="002D74F8">
      <w:pPr>
        <w:pStyle w:val="Proposal"/>
      </w:pPr>
      <w:bookmarkStart w:id="3" w:name="_Toc61536522"/>
      <w:r>
        <w:t xml:space="preserve">RAN2 to dummy the capability bit </w:t>
      </w:r>
      <w:r w:rsidRPr="002D74F8">
        <w:rPr>
          <w:i/>
          <w:iCs/>
        </w:rPr>
        <w:t>v2x-EUTRA</w:t>
      </w:r>
      <w:r>
        <w:rPr>
          <w:i/>
          <w:iCs/>
        </w:rPr>
        <w:t xml:space="preserve"> </w:t>
      </w:r>
      <w:r>
        <w:t>in TS 38.331 and TS 38.306.</w:t>
      </w:r>
      <w:bookmarkEnd w:id="3"/>
    </w:p>
    <w:p w14:paraId="22AE122E" w14:textId="449E8A72" w:rsidR="00773A3D" w:rsidRPr="002D74F8" w:rsidRDefault="00773A3D" w:rsidP="002D74F8">
      <w:pPr>
        <w:pStyle w:val="Proposal"/>
      </w:pPr>
      <w:bookmarkStart w:id="4" w:name="_Toc61536523"/>
      <w:r>
        <w:t>RAN2 to agree on the CR</w:t>
      </w:r>
      <w:r w:rsidR="00A84303">
        <w:t>s</w:t>
      </w:r>
      <w:r>
        <w:t xml:space="preserve"> in </w:t>
      </w:r>
      <w:r w:rsidR="00A84303">
        <w:fldChar w:fldCharType="begin"/>
      </w:r>
      <w:r w:rsidR="00A84303">
        <w:instrText xml:space="preserve"> REF _Ref61536499 \r \h </w:instrText>
      </w:r>
      <w:r w:rsidR="00A84303">
        <w:fldChar w:fldCharType="separate"/>
      </w:r>
      <w:r w:rsidR="00A84303">
        <w:t>[1]</w:t>
      </w:r>
      <w:r w:rsidR="00A84303">
        <w:fldChar w:fldCharType="end"/>
      </w:r>
      <w:r w:rsidR="00A84303">
        <w:t xml:space="preserve"> and </w:t>
      </w:r>
      <w:r w:rsidR="00A84303">
        <w:fldChar w:fldCharType="begin"/>
      </w:r>
      <w:r w:rsidR="00A84303">
        <w:instrText xml:space="preserve"> REF _Ref61536513 \r \h </w:instrText>
      </w:r>
      <w:r w:rsidR="00A84303">
        <w:fldChar w:fldCharType="separate"/>
      </w:r>
      <w:r w:rsidR="00A84303">
        <w:t>[2]</w:t>
      </w:r>
      <w:r w:rsidR="00A84303">
        <w:fldChar w:fldCharType="end"/>
      </w:r>
      <w:r w:rsidR="00A84303">
        <w:t>.</w:t>
      </w:r>
      <w:bookmarkEnd w:id="4"/>
    </w:p>
    <w:p w14:paraId="2304DE0A" w14:textId="77777777" w:rsidR="00C01F33" w:rsidRPr="00CE0424" w:rsidRDefault="00C01F33" w:rsidP="00CE0424">
      <w:pPr>
        <w:pStyle w:val="Heading1"/>
      </w:pPr>
      <w:r w:rsidRPr="00CE0424">
        <w:t>Conclusion</w:t>
      </w:r>
    </w:p>
    <w:p w14:paraId="0CC6F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197F58" w14:textId="77777777" w:rsidR="00A8430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536520" w:history="1">
        <w:r w:rsidR="00A84303" w:rsidRPr="003B4826">
          <w:rPr>
            <w:rStyle w:val="Hyperlink"/>
            <w:noProof/>
          </w:rPr>
          <w:t>Observation 1</w:t>
        </w:r>
        <w:r w:rsidR="00A84303">
          <w:rPr>
            <w:rFonts w:asciiTheme="minorHAnsi" w:eastAsiaTheme="minorEastAsia" w:hAnsiTheme="minorHAnsi" w:cstheme="minorBidi"/>
            <w:b w:val="0"/>
            <w:noProof/>
            <w:sz w:val="24"/>
            <w:szCs w:val="24"/>
            <w:lang w:val="en-FI" w:eastAsia="en-GB"/>
          </w:rPr>
          <w:tab/>
        </w:r>
        <w:r w:rsidR="00A84303" w:rsidRPr="003B4826">
          <w:rPr>
            <w:rStyle w:val="Hyperlink"/>
            <w:noProof/>
          </w:rPr>
          <w:t>RAN2 agreed in Rel-16 that the UE does not report any PC5 capability when this is configured with MR-DC.</w:t>
        </w:r>
      </w:hyperlink>
    </w:p>
    <w:p w14:paraId="06373A73" w14:textId="77777777" w:rsidR="00A84303" w:rsidRDefault="00A8430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6521" w:history="1">
        <w:r w:rsidRPr="003B4826">
          <w:rPr>
            <w:rStyle w:val="Hyperlink"/>
            <w:noProof/>
          </w:rPr>
          <w:t>Observation 2</w:t>
        </w:r>
        <w:r>
          <w:rPr>
            <w:rFonts w:asciiTheme="minorHAnsi" w:eastAsiaTheme="minorEastAsia" w:hAnsiTheme="minorHAnsi" w:cstheme="minorBidi"/>
            <w:b w:val="0"/>
            <w:noProof/>
            <w:sz w:val="24"/>
            <w:szCs w:val="24"/>
            <w:lang w:val="en-FI" w:eastAsia="en-GB"/>
          </w:rPr>
          <w:tab/>
        </w:r>
        <w:r w:rsidRPr="003B4826">
          <w:rPr>
            <w:rStyle w:val="Hyperlink"/>
            <w:noProof/>
          </w:rPr>
          <w:t>According to the RAN2 agreements in Rel-16, the capability bit v2x-EUTRA introduced in Rel-15 has not meaning and is not used.</w:t>
        </w:r>
      </w:hyperlink>
    </w:p>
    <w:p w14:paraId="2EBECF87" w14:textId="0FC9FB69" w:rsidR="006E1C82" w:rsidRDefault="006F6582" w:rsidP="008E065E">
      <w:pPr>
        <w:pStyle w:val="BodyText"/>
        <w:rPr>
          <w:b/>
          <w:bCs/>
        </w:rPr>
      </w:pPr>
      <w:r>
        <w:rPr>
          <w:b/>
          <w:bCs/>
        </w:rPr>
        <w:fldChar w:fldCharType="end"/>
      </w:r>
    </w:p>
    <w:p w14:paraId="692C35B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EEF8A8" w14:textId="77777777" w:rsidR="00A8430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6522" w:history="1">
        <w:r w:rsidR="00A84303" w:rsidRPr="00363CB0">
          <w:rPr>
            <w:rStyle w:val="Hyperlink"/>
            <w:noProof/>
          </w:rPr>
          <w:t>Proposal 1</w:t>
        </w:r>
        <w:r w:rsidR="00A84303">
          <w:rPr>
            <w:rFonts w:asciiTheme="minorHAnsi" w:eastAsiaTheme="minorEastAsia" w:hAnsiTheme="minorHAnsi" w:cstheme="minorBidi"/>
            <w:b w:val="0"/>
            <w:noProof/>
            <w:sz w:val="24"/>
            <w:szCs w:val="24"/>
            <w:lang w:val="en-FI" w:eastAsia="en-GB"/>
          </w:rPr>
          <w:tab/>
        </w:r>
        <w:r w:rsidR="00A84303" w:rsidRPr="00363CB0">
          <w:rPr>
            <w:rStyle w:val="Hyperlink"/>
            <w:noProof/>
          </w:rPr>
          <w:t xml:space="preserve">RAN2 to dummy the capability bit </w:t>
        </w:r>
        <w:r w:rsidR="00A84303" w:rsidRPr="00363CB0">
          <w:rPr>
            <w:rStyle w:val="Hyperlink"/>
            <w:i/>
            <w:iCs/>
            <w:noProof/>
          </w:rPr>
          <w:t xml:space="preserve">v2x-EUTRA </w:t>
        </w:r>
        <w:r w:rsidR="00A84303" w:rsidRPr="00363CB0">
          <w:rPr>
            <w:rStyle w:val="Hyperlink"/>
            <w:noProof/>
          </w:rPr>
          <w:t>in TS 38.331 and TS 38.306.</w:t>
        </w:r>
      </w:hyperlink>
    </w:p>
    <w:p w14:paraId="57C62936" w14:textId="77777777" w:rsidR="00A84303" w:rsidRDefault="00A8430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6523" w:history="1">
        <w:r w:rsidRPr="00363CB0">
          <w:rPr>
            <w:rStyle w:val="Hyperlink"/>
            <w:noProof/>
          </w:rPr>
          <w:t>Proposal 2</w:t>
        </w:r>
        <w:r>
          <w:rPr>
            <w:rFonts w:asciiTheme="minorHAnsi" w:eastAsiaTheme="minorEastAsia" w:hAnsiTheme="minorHAnsi" w:cstheme="minorBidi"/>
            <w:b w:val="0"/>
            <w:noProof/>
            <w:sz w:val="24"/>
            <w:szCs w:val="24"/>
            <w:lang w:val="en-FI" w:eastAsia="en-GB"/>
          </w:rPr>
          <w:tab/>
        </w:r>
        <w:r w:rsidRPr="00363CB0">
          <w:rPr>
            <w:rStyle w:val="Hyperlink"/>
            <w:noProof/>
          </w:rPr>
          <w:t>RAN2 to agree on the CRs in [1] and [2].</w:t>
        </w:r>
      </w:hyperlink>
    </w:p>
    <w:p w14:paraId="6D8F778C" w14:textId="6827DC4C" w:rsidR="002D74F8" w:rsidRPr="002D74F8" w:rsidRDefault="006E1C82" w:rsidP="002D74F8">
      <w:pPr>
        <w:pStyle w:val="BodyText"/>
        <w:rPr>
          <w:b/>
          <w:bCs/>
          <w:lang w:val="en-US"/>
        </w:rPr>
      </w:pPr>
      <w:r>
        <w:rPr>
          <w:b/>
          <w:bCs/>
          <w:lang w:val="en-US"/>
        </w:rPr>
        <w:fldChar w:fldCharType="end"/>
      </w:r>
    </w:p>
    <w:p w14:paraId="434B6E7C" w14:textId="09FF5D7C" w:rsidR="00F507D1" w:rsidRDefault="00F507D1" w:rsidP="00CE0424">
      <w:pPr>
        <w:pStyle w:val="Heading1"/>
      </w:pPr>
      <w:bookmarkStart w:id="5" w:name="_In-sequence_SDU_delivery"/>
      <w:bookmarkEnd w:id="5"/>
      <w:r w:rsidRPr="00CE0424">
        <w:t>References</w:t>
      </w:r>
    </w:p>
    <w:p w14:paraId="24B20948" w14:textId="068F1549" w:rsidR="00773A3D" w:rsidRDefault="001E1143" w:rsidP="001E1143">
      <w:pPr>
        <w:pStyle w:val="Reference"/>
      </w:pPr>
      <w:bookmarkStart w:id="6" w:name="_Ref61536499"/>
      <w:r>
        <w:t>R2-210</w:t>
      </w:r>
      <w:r w:rsidR="004E0134">
        <w:t>0971, Dummy the capability bit v2x-EUTRA, Ericsson, RAN2#113e, January 2021</w:t>
      </w:r>
      <w:bookmarkEnd w:id="6"/>
    </w:p>
    <w:p w14:paraId="3A304D8A" w14:textId="65A34F79" w:rsidR="004E0134" w:rsidRPr="00773A3D" w:rsidRDefault="004E0134" w:rsidP="004E0134">
      <w:pPr>
        <w:pStyle w:val="Reference"/>
      </w:pPr>
      <w:bookmarkStart w:id="7" w:name="_Ref61536513"/>
      <w:r>
        <w:t>R2-210097</w:t>
      </w:r>
      <w:r>
        <w:t>2</w:t>
      </w:r>
      <w:r>
        <w:t>, Dummy the capability bit v2x-EUTRA, Ericsson, RAN2#113e, January 2021</w:t>
      </w:r>
      <w:bookmarkEnd w:id="7"/>
    </w:p>
    <w:p w14:paraId="33DA7AA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0BF73" w14:textId="77777777" w:rsidR="00473186" w:rsidRDefault="00473186">
      <w:r>
        <w:separator/>
      </w:r>
    </w:p>
  </w:endnote>
  <w:endnote w:type="continuationSeparator" w:id="0">
    <w:p w14:paraId="5AA39DCB" w14:textId="77777777" w:rsidR="00473186" w:rsidRDefault="0047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5076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072E5" w14:textId="77777777" w:rsidR="00473186" w:rsidRDefault="00473186">
      <w:r>
        <w:separator/>
      </w:r>
    </w:p>
  </w:footnote>
  <w:footnote w:type="continuationSeparator" w:id="0">
    <w:p w14:paraId="00453D61" w14:textId="77777777" w:rsidR="00473186" w:rsidRDefault="0047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69A9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74D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5C6C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C4"/>
    <w:rsid w:val="000006E1"/>
    <w:rsid w:val="0000104E"/>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C0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1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114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4F8"/>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A3A"/>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186"/>
    <w:rsid w:val="004734D0"/>
    <w:rsid w:val="0047556B"/>
    <w:rsid w:val="00477768"/>
    <w:rsid w:val="00492BC5"/>
    <w:rsid w:val="004964F1"/>
    <w:rsid w:val="004A16BC"/>
    <w:rsid w:val="004A2B94"/>
    <w:rsid w:val="004B6F6A"/>
    <w:rsid w:val="004B7C0C"/>
    <w:rsid w:val="004C3898"/>
    <w:rsid w:val="004D36B1"/>
    <w:rsid w:val="004D7EBD"/>
    <w:rsid w:val="004E013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0C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3A3D"/>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760C8"/>
  <w15:chartTrackingRefBased/>
  <w15:docId w15:val="{10373B53-9A3D-AE47-A683-D2D3BA7C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tal0">
    <w:name w:val="tal"/>
    <w:basedOn w:val="Normal"/>
    <w:rsid w:val="00374A3A"/>
    <w:pPr>
      <w:overflowPunct/>
      <w:autoSpaceDE/>
      <w:autoSpaceDN/>
      <w:adjustRightInd/>
      <w:spacing w:before="100" w:beforeAutospacing="1" w:after="100" w:afterAutospacing="1"/>
      <w:textAlignment w:val="auto"/>
    </w:pPr>
    <w:rPr>
      <w:sz w:val="24"/>
      <w:szCs w:val="24"/>
      <w:lang w:val="en-FI" w:eastAsia="en-GB"/>
    </w:rPr>
  </w:style>
  <w:style w:type="character" w:customStyle="1" w:styleId="apple-converted-space">
    <w:name w:val="apple-converted-space"/>
    <w:basedOn w:val="DefaultParagraphFont"/>
    <w:rsid w:val="00374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70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420EDA-E2B1-4701-A82C-64317480B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17</TotalTime>
  <Pages>2</Pages>
  <Words>680</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7</cp:revision>
  <cp:lastPrinted>2008-01-31T07:09:00Z</cp:lastPrinted>
  <dcterms:created xsi:type="dcterms:W3CDTF">2021-01-07T14:32:00Z</dcterms:created>
  <dcterms:modified xsi:type="dcterms:W3CDTF">2021-01-14T15:08:00Z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